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77777777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or 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6950"/>
      </w:tblGrid>
      <w:tr w:rsidR="00D61347" w:rsidRPr="006A0772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6A0772" w:rsidRDefault="00D61347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  <w:color w:val="000000"/>
              </w:rPr>
              <w:t>Project title:</w:t>
            </w:r>
            <w:r w:rsidRPr="006A0772">
              <w:rPr>
                <w:rStyle w:val="apple-converted-space"/>
                <w:rFonts w:cstheme="minorHAnsi"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7F962919" w:rsidR="00D61347" w:rsidRPr="00306975" w:rsidRDefault="009E1CC4">
            <w:pPr>
              <w:rPr>
                <w:rFonts w:cstheme="minorHAnsi"/>
                <w:bCs/>
              </w:rPr>
            </w:pPr>
            <w:r w:rsidRPr="009E1CC4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 xml:space="preserve">Unveiling Oral Health Realities among </w:t>
            </w:r>
            <w:r w:rsidR="00B64163" w:rsidRPr="00B64163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>Culturally and Linguistically Diverse</w:t>
            </w:r>
            <w:r w:rsidR="006C56C4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 xml:space="preserve"> </w:t>
            </w:r>
            <w:r w:rsidR="006C56C4">
              <w:rPr>
                <w:rStyle w:val="Strong"/>
                <w:bCs w:val="0"/>
                <w:bdr w:val="none" w:sz="0" w:space="0" w:color="auto" w:frame="1"/>
              </w:rPr>
              <w:t>(CALD)</w:t>
            </w:r>
            <w:r w:rsidRPr="009E1CC4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 xml:space="preserve"> Populations</w:t>
            </w:r>
            <w:r w:rsidR="003C37EE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 xml:space="preserve"> </w:t>
            </w:r>
            <w:r w:rsidR="003C37EE">
              <w:rPr>
                <w:rStyle w:val="Strong"/>
                <w:bCs w:val="0"/>
                <w:color w:val="000000"/>
                <w:bdr w:val="none" w:sz="0" w:space="0" w:color="auto" w:frame="1"/>
              </w:rPr>
              <w:t>in Australia</w:t>
            </w:r>
            <w:r w:rsidRPr="009E1CC4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 xml:space="preserve">: A </w:t>
            </w:r>
            <w:r w:rsidR="005E50E0">
              <w:rPr>
                <w:rStyle w:val="Strong"/>
                <w:rFonts w:cstheme="minorHAnsi"/>
                <w:bCs w:val="0"/>
                <w:color w:val="000000"/>
                <w:bdr w:val="none" w:sz="0" w:space="0" w:color="auto" w:frame="1"/>
              </w:rPr>
              <w:t>s</w:t>
            </w:r>
            <w:r w:rsidR="005E50E0">
              <w:rPr>
                <w:rStyle w:val="Strong"/>
                <w:bCs w:val="0"/>
                <w:color w:val="000000"/>
                <w:bdr w:val="none" w:sz="0" w:space="0" w:color="auto" w:frame="1"/>
              </w:rPr>
              <w:t xml:space="preserve">coping review </w:t>
            </w:r>
          </w:p>
        </w:tc>
      </w:tr>
      <w:tr w:rsidR="00FA2569" w:rsidRPr="006A0772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6A0772" w:rsidRDefault="00511802" w:rsidP="00572718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>Project duration</w:t>
            </w:r>
            <w:r w:rsidR="002B5ABA" w:rsidRPr="006A0772">
              <w:rPr>
                <w:rFonts w:cstheme="minorHAnsi"/>
                <w:bCs/>
              </w:rPr>
              <w:t>, hours of engagement</w:t>
            </w:r>
            <w:r w:rsidRPr="006A0772">
              <w:rPr>
                <w:rFonts w:cstheme="minorHAnsi"/>
                <w:bCs/>
              </w:rPr>
              <w:t xml:space="preserve"> &amp; delivery</w:t>
            </w:r>
            <w:r w:rsidR="002B5ABA" w:rsidRPr="006A0772">
              <w:rPr>
                <w:rFonts w:cstheme="minorHAnsi"/>
                <w:bCs/>
              </w:rPr>
              <w:t xml:space="preserve"> mode</w:t>
            </w:r>
          </w:p>
        </w:tc>
        <w:tc>
          <w:tcPr>
            <w:tcW w:w="7149" w:type="dxa"/>
          </w:tcPr>
          <w:p w14:paraId="54E0A7B0" w14:textId="1C92171E" w:rsidR="009076E1" w:rsidRPr="006A0772" w:rsidRDefault="00CB2B2A" w:rsidP="005118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  <w:r w:rsidR="0080180C" w:rsidRPr="006A0772">
              <w:rPr>
                <w:rFonts w:cstheme="minorHAnsi"/>
                <w:bCs/>
              </w:rPr>
              <w:t xml:space="preserve"> weeks. The work can be completed with a combination of onsite and WFH arrangements, however, onsite is preferred for provision of appropriate guidance</w:t>
            </w:r>
            <w:r w:rsidR="00392185">
              <w:rPr>
                <w:rFonts w:cstheme="minorHAnsi"/>
                <w:bCs/>
              </w:rPr>
              <w:t xml:space="preserve">, supervision </w:t>
            </w:r>
            <w:r w:rsidR="009076E1">
              <w:rPr>
                <w:rFonts w:cstheme="minorHAnsi"/>
                <w:bCs/>
              </w:rPr>
              <w:t xml:space="preserve">and engaging with the wider research group and networking. </w:t>
            </w:r>
          </w:p>
        </w:tc>
      </w:tr>
      <w:tr w:rsidR="00FA2569" w:rsidRPr="006A0772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6A0772" w:rsidRDefault="00FA2569" w:rsidP="00572718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252266E6" w:rsidR="00FA2569" w:rsidRPr="006A0772" w:rsidRDefault="0046288C" w:rsidP="0080180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This research will </w:t>
            </w:r>
            <w:r w:rsidR="00D928A0">
              <w:rPr>
                <w:rFonts w:cstheme="minorHAnsi"/>
                <w:bCs/>
              </w:rPr>
              <w:t>u</w:t>
            </w:r>
            <w:r w:rsidR="00D928A0">
              <w:t xml:space="preserve">se a scoping review methodology to </w:t>
            </w:r>
            <w:r w:rsidR="005D6DAE" w:rsidRPr="005D6DAE">
              <w:rPr>
                <w:rFonts w:cstheme="minorHAnsi"/>
                <w:bCs/>
              </w:rPr>
              <w:t xml:space="preserve">explore oral health disparities, dental access challenges, </w:t>
            </w:r>
            <w:r w:rsidR="00D0531F">
              <w:rPr>
                <w:rFonts w:cstheme="minorHAnsi"/>
                <w:bCs/>
              </w:rPr>
              <w:t xml:space="preserve">oral health literacy </w:t>
            </w:r>
            <w:r w:rsidR="005D6DAE" w:rsidRPr="005D6DAE">
              <w:rPr>
                <w:rFonts w:cstheme="minorHAnsi"/>
                <w:bCs/>
              </w:rPr>
              <w:t xml:space="preserve">and </w:t>
            </w:r>
            <w:r w:rsidR="00D34C4B">
              <w:rPr>
                <w:rFonts w:cstheme="minorHAnsi"/>
                <w:bCs/>
              </w:rPr>
              <w:t xml:space="preserve">oral health promotion </w:t>
            </w:r>
            <w:r w:rsidR="005D6DAE" w:rsidRPr="005D6DAE">
              <w:rPr>
                <w:rFonts w:cstheme="minorHAnsi"/>
                <w:bCs/>
              </w:rPr>
              <w:t xml:space="preserve">programs for Culturally and Linguistically Diverse (CALD) and migrant populations </w:t>
            </w:r>
            <w:r w:rsidR="00641910">
              <w:rPr>
                <w:rFonts w:cstheme="minorHAnsi"/>
                <w:bCs/>
              </w:rPr>
              <w:t xml:space="preserve">in </w:t>
            </w:r>
            <w:r w:rsidR="005D6DAE" w:rsidRPr="005D6DAE">
              <w:rPr>
                <w:rFonts w:cstheme="minorHAnsi"/>
                <w:bCs/>
              </w:rPr>
              <w:t xml:space="preserve">Australia. Using systematic methods, we </w:t>
            </w:r>
            <w:r w:rsidR="00D34C4B">
              <w:rPr>
                <w:rFonts w:cstheme="minorHAnsi"/>
                <w:bCs/>
              </w:rPr>
              <w:t xml:space="preserve">will </w:t>
            </w:r>
            <w:r w:rsidR="005D6DAE" w:rsidRPr="005D6DAE">
              <w:rPr>
                <w:rFonts w:cstheme="minorHAnsi"/>
                <w:bCs/>
              </w:rPr>
              <w:t>anal</w:t>
            </w:r>
            <w:r w:rsidR="00D34C4B">
              <w:rPr>
                <w:rFonts w:cstheme="minorHAnsi"/>
                <w:bCs/>
              </w:rPr>
              <w:t>yse</w:t>
            </w:r>
            <w:r w:rsidR="005D6DAE" w:rsidRPr="005D6DAE">
              <w:rPr>
                <w:rFonts w:cstheme="minorHAnsi"/>
                <w:bCs/>
              </w:rPr>
              <w:t xml:space="preserve"> existing literature to identify key themes related to oral health needs, access barriers, and program effectiveness. </w:t>
            </w:r>
            <w:r w:rsidR="00802EFF">
              <w:rPr>
                <w:rFonts w:cstheme="minorHAnsi"/>
                <w:bCs/>
              </w:rPr>
              <w:br/>
            </w:r>
            <w:r w:rsidR="00816F92">
              <w:rPr>
                <w:rFonts w:cstheme="minorHAnsi"/>
                <w:bCs/>
              </w:rPr>
              <w:t>The review will also analyse</w:t>
            </w:r>
            <w:r w:rsidR="00965402">
              <w:rPr>
                <w:rFonts w:cstheme="minorHAnsi"/>
                <w:bCs/>
              </w:rPr>
              <w:t xml:space="preserve"> oral health</w:t>
            </w:r>
            <w:r w:rsidR="00816F92">
              <w:rPr>
                <w:rFonts w:cstheme="minorHAnsi"/>
                <w:bCs/>
              </w:rPr>
              <w:t xml:space="preserve"> </w:t>
            </w:r>
            <w:r w:rsidR="00965402">
              <w:rPr>
                <w:rFonts w:cstheme="minorHAnsi"/>
                <w:bCs/>
              </w:rPr>
              <w:t xml:space="preserve">information and resources available through </w:t>
            </w:r>
            <w:r w:rsidR="00C16B6F">
              <w:rPr>
                <w:rFonts w:cstheme="minorHAnsi"/>
                <w:bCs/>
              </w:rPr>
              <w:t xml:space="preserve">national and local </w:t>
            </w:r>
            <w:r w:rsidR="0032494D">
              <w:rPr>
                <w:rFonts w:cstheme="minorHAnsi"/>
                <w:bCs/>
              </w:rPr>
              <w:t>CALD organisations and government health departments</w:t>
            </w:r>
            <w:r w:rsidR="00965402">
              <w:rPr>
                <w:rFonts w:cstheme="minorHAnsi"/>
                <w:bCs/>
              </w:rPr>
              <w:t>. This</w:t>
            </w:r>
            <w:r w:rsidR="005D6DAE" w:rsidRPr="005D6DAE">
              <w:rPr>
                <w:rFonts w:cstheme="minorHAnsi"/>
                <w:bCs/>
              </w:rPr>
              <w:t xml:space="preserve"> review underscores the importance of addressing oral health disparities among these communities and provides practical recommendations for </w:t>
            </w:r>
            <w:r w:rsidR="004236F4">
              <w:rPr>
                <w:rFonts w:cstheme="minorHAnsi"/>
                <w:bCs/>
              </w:rPr>
              <w:t xml:space="preserve">oral and dental </w:t>
            </w:r>
            <w:r w:rsidR="005D6DAE" w:rsidRPr="005D6DAE">
              <w:rPr>
                <w:rFonts w:cstheme="minorHAnsi"/>
                <w:bCs/>
              </w:rPr>
              <w:t>healthcare improvement.</w:t>
            </w:r>
          </w:p>
        </w:tc>
      </w:tr>
      <w:tr w:rsidR="00FA2569" w:rsidRPr="006A0772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6A0772" w:rsidRDefault="004175CE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>Expected outcomes and deliverables:</w:t>
            </w:r>
          </w:p>
        </w:tc>
        <w:tc>
          <w:tcPr>
            <w:tcW w:w="7149" w:type="dxa"/>
          </w:tcPr>
          <w:p w14:paraId="2D87B08A" w14:textId="43C63DB5" w:rsidR="00FA2569" w:rsidRDefault="0080180C" w:rsidP="0080180C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>Conducting a scoping review</w:t>
            </w:r>
            <w:r w:rsidR="00306975">
              <w:rPr>
                <w:rFonts w:cstheme="minorHAnsi"/>
                <w:bCs/>
              </w:rPr>
              <w:t xml:space="preserve"> </w:t>
            </w:r>
            <w:r w:rsidRPr="006A0772">
              <w:rPr>
                <w:rFonts w:cstheme="minorHAnsi"/>
                <w:bCs/>
              </w:rPr>
              <w:t xml:space="preserve">develops skills in comprehensive literature searches, critical evaluation, </w:t>
            </w:r>
            <w:r w:rsidR="00306975">
              <w:rPr>
                <w:rFonts w:cstheme="minorHAnsi"/>
                <w:bCs/>
              </w:rPr>
              <w:t xml:space="preserve">content analysis </w:t>
            </w:r>
            <w:r w:rsidRPr="006A0772">
              <w:rPr>
                <w:rFonts w:cstheme="minorHAnsi"/>
                <w:bCs/>
              </w:rPr>
              <w:t>and synthesizing diverse sources. It enhances research design understanding, data organization, and analytical capabilities. Individuals refine communication skills, problem-solving abilities, and interdisciplinary collaboration. Time management, project coordination, ethical considerations, and exposure to varied perspectives are also gained. This experience builds a foundation for effective research, analysis, and communication in diverse contexts</w:t>
            </w:r>
            <w:r w:rsidR="00BA27A2">
              <w:rPr>
                <w:rFonts w:cstheme="minorHAnsi"/>
                <w:bCs/>
              </w:rPr>
              <w:t xml:space="preserve">. </w:t>
            </w:r>
            <w:r w:rsidR="00A36D6F">
              <w:rPr>
                <w:rFonts w:cstheme="minorHAnsi"/>
                <w:bCs/>
              </w:rPr>
              <w:t xml:space="preserve">The project will produce research outputs like </w:t>
            </w:r>
            <w:r w:rsidR="006D35B4">
              <w:rPr>
                <w:rFonts w:cstheme="minorHAnsi"/>
                <w:bCs/>
              </w:rPr>
              <w:t xml:space="preserve">scientific publications, conference presentations and social media posts. The student will get </w:t>
            </w:r>
            <w:r w:rsidR="00D70054">
              <w:rPr>
                <w:rFonts w:cstheme="minorHAnsi"/>
                <w:bCs/>
              </w:rPr>
              <w:t xml:space="preserve">an opportunity to co-author these outputs. This is an excellent way to </w:t>
            </w:r>
            <w:r w:rsidR="00D04310">
              <w:rPr>
                <w:rFonts w:cstheme="minorHAnsi"/>
                <w:bCs/>
              </w:rPr>
              <w:t>start establishing track record in research</w:t>
            </w:r>
            <w:r w:rsidR="00967C84">
              <w:rPr>
                <w:rFonts w:cstheme="minorHAnsi"/>
                <w:bCs/>
              </w:rPr>
              <w:t xml:space="preserve">, network </w:t>
            </w:r>
            <w:r w:rsidR="00D04310">
              <w:rPr>
                <w:rFonts w:cstheme="minorHAnsi"/>
                <w:bCs/>
              </w:rPr>
              <w:t xml:space="preserve">and demonstrate </w:t>
            </w:r>
            <w:r w:rsidR="00530D15">
              <w:rPr>
                <w:rFonts w:cstheme="minorHAnsi"/>
                <w:bCs/>
              </w:rPr>
              <w:t xml:space="preserve">research and communication </w:t>
            </w:r>
            <w:r w:rsidR="00D04310">
              <w:rPr>
                <w:rFonts w:cstheme="minorHAnsi"/>
                <w:bCs/>
              </w:rPr>
              <w:t xml:space="preserve">skills to the recruiters. </w:t>
            </w:r>
          </w:p>
          <w:p w14:paraId="1F7C993C" w14:textId="77777777" w:rsidR="005A5571" w:rsidRDefault="005A5571" w:rsidP="0080180C">
            <w:pPr>
              <w:rPr>
                <w:rFonts w:cstheme="minorHAnsi"/>
                <w:bCs/>
              </w:rPr>
            </w:pPr>
          </w:p>
          <w:p w14:paraId="08DC5C6A" w14:textId="58E5406A" w:rsidR="0080180C" w:rsidRPr="006A0772" w:rsidRDefault="0080180C" w:rsidP="0080180C">
            <w:pPr>
              <w:rPr>
                <w:rFonts w:cstheme="minorHAnsi"/>
                <w:bCs/>
              </w:rPr>
            </w:pPr>
            <w:r w:rsidRPr="00B1555C">
              <w:rPr>
                <w:rFonts w:cstheme="minorHAnsi"/>
                <w:b/>
              </w:rPr>
              <w:t>Deliverables:</w:t>
            </w:r>
            <w:r w:rsidRPr="006A0772">
              <w:rPr>
                <w:rFonts w:cstheme="minorHAnsi"/>
                <w:bCs/>
              </w:rPr>
              <w:t xml:space="preserve"> By the end of the program, student will be confident in </w:t>
            </w:r>
            <w:r w:rsidR="00490E62" w:rsidRPr="006A0772">
              <w:rPr>
                <w:rFonts w:cstheme="minorHAnsi"/>
                <w:bCs/>
              </w:rPr>
              <w:t>conducting a scoping review and use software such as Endnote</w:t>
            </w:r>
            <w:r w:rsidR="00C0150F">
              <w:rPr>
                <w:rFonts w:cstheme="minorHAnsi"/>
                <w:bCs/>
              </w:rPr>
              <w:t>, MS Excel</w:t>
            </w:r>
            <w:r w:rsidR="00490E62" w:rsidRPr="006A0772">
              <w:rPr>
                <w:rFonts w:cstheme="minorHAnsi"/>
                <w:bCs/>
              </w:rPr>
              <w:t xml:space="preserve"> and Covidence. They would have </w:t>
            </w:r>
            <w:r w:rsidR="00B1555C">
              <w:rPr>
                <w:rFonts w:cstheme="minorHAnsi"/>
                <w:bCs/>
              </w:rPr>
              <w:t>run</w:t>
            </w:r>
            <w:r w:rsidR="00BA27A2">
              <w:rPr>
                <w:rFonts w:cstheme="minorHAnsi"/>
                <w:bCs/>
              </w:rPr>
              <w:t xml:space="preserve"> searches using keywords, </w:t>
            </w:r>
            <w:r w:rsidR="00490E62" w:rsidRPr="006A0772">
              <w:rPr>
                <w:rFonts w:cstheme="minorHAnsi"/>
                <w:bCs/>
              </w:rPr>
              <w:t xml:space="preserve">extracted and analysed the data and written a first draft of a publishable report. </w:t>
            </w:r>
          </w:p>
        </w:tc>
      </w:tr>
      <w:tr w:rsidR="00FA2569" w:rsidRPr="006A0772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6A0772" w:rsidRDefault="00FA2569" w:rsidP="00D61347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>Suitable for:</w:t>
            </w:r>
          </w:p>
        </w:tc>
        <w:tc>
          <w:tcPr>
            <w:tcW w:w="7149" w:type="dxa"/>
          </w:tcPr>
          <w:p w14:paraId="1A9DDFCB" w14:textId="524EE4C8" w:rsidR="000F509F" w:rsidRDefault="000A116B" w:rsidP="00D61347">
            <w:pPr>
              <w:rPr>
                <w:rFonts w:cstheme="minorHAnsi"/>
                <w:bCs/>
                <w:color w:val="000000"/>
              </w:rPr>
            </w:pPr>
            <w:r w:rsidRPr="006A0772">
              <w:rPr>
                <w:rFonts w:cstheme="minorHAnsi"/>
                <w:bCs/>
                <w:color w:val="000000"/>
              </w:rPr>
              <w:t>This project will be suitable for</w:t>
            </w:r>
            <w:r w:rsidR="007E0BAB" w:rsidRPr="006A0772">
              <w:rPr>
                <w:rFonts w:cstheme="minorHAnsi"/>
                <w:bCs/>
                <w:color w:val="000000"/>
              </w:rPr>
              <w:t xml:space="preserve"> (but not limited to)</w:t>
            </w:r>
            <w:r w:rsidRPr="006A0772">
              <w:rPr>
                <w:rFonts w:cstheme="minorHAnsi"/>
                <w:bCs/>
                <w:color w:val="000000"/>
              </w:rPr>
              <w:t xml:space="preserve"> students who have a background or interest in </w:t>
            </w:r>
            <w:r w:rsidR="00C008B6" w:rsidRPr="006A0772">
              <w:rPr>
                <w:rFonts w:cstheme="minorHAnsi"/>
                <w:bCs/>
                <w:color w:val="000000"/>
              </w:rPr>
              <w:t xml:space="preserve">health, </w:t>
            </w:r>
            <w:r w:rsidR="00DE086A">
              <w:rPr>
                <w:rFonts w:cstheme="minorHAnsi"/>
                <w:bCs/>
                <w:color w:val="000000"/>
              </w:rPr>
              <w:t xml:space="preserve">dentistry, </w:t>
            </w:r>
            <w:r w:rsidRPr="006A0772">
              <w:rPr>
                <w:rFonts w:cstheme="minorHAnsi"/>
                <w:bCs/>
                <w:color w:val="000000"/>
              </w:rPr>
              <w:t xml:space="preserve">public health, </w:t>
            </w:r>
            <w:r w:rsidR="00C008B6" w:rsidRPr="006A0772">
              <w:rPr>
                <w:rFonts w:cstheme="minorHAnsi"/>
                <w:bCs/>
                <w:color w:val="000000"/>
              </w:rPr>
              <w:t xml:space="preserve">pharmacy, </w:t>
            </w:r>
            <w:r w:rsidR="00963CC8" w:rsidRPr="006A0772">
              <w:rPr>
                <w:rFonts w:cstheme="minorHAnsi"/>
                <w:bCs/>
                <w:color w:val="000000"/>
              </w:rPr>
              <w:t xml:space="preserve">nursing, </w:t>
            </w:r>
            <w:r w:rsidR="00A8001D" w:rsidRPr="006A0772">
              <w:rPr>
                <w:rFonts w:cstheme="minorHAnsi"/>
                <w:bCs/>
                <w:color w:val="000000"/>
              </w:rPr>
              <w:t xml:space="preserve">medicine, psychology, </w:t>
            </w:r>
            <w:r w:rsidR="00565C40" w:rsidRPr="006A0772">
              <w:rPr>
                <w:rFonts w:cstheme="minorHAnsi"/>
                <w:bCs/>
                <w:color w:val="000000"/>
              </w:rPr>
              <w:t>mental health</w:t>
            </w:r>
            <w:r w:rsidR="00160C59">
              <w:rPr>
                <w:rFonts w:cstheme="minorHAnsi"/>
                <w:bCs/>
                <w:color w:val="000000"/>
              </w:rPr>
              <w:t xml:space="preserve">, </w:t>
            </w:r>
            <w:r w:rsidR="00A8001D" w:rsidRPr="006A0772">
              <w:rPr>
                <w:rFonts w:cstheme="minorHAnsi"/>
                <w:bCs/>
                <w:color w:val="000000"/>
              </w:rPr>
              <w:t xml:space="preserve">allied health, </w:t>
            </w:r>
            <w:r w:rsidRPr="006A0772">
              <w:rPr>
                <w:rFonts w:cstheme="minorHAnsi"/>
                <w:bCs/>
                <w:color w:val="000000"/>
              </w:rPr>
              <w:t xml:space="preserve">health policy, </w:t>
            </w:r>
            <w:r w:rsidR="00537645" w:rsidRPr="006A0772">
              <w:rPr>
                <w:rFonts w:cstheme="minorHAnsi"/>
                <w:bCs/>
                <w:color w:val="000000"/>
              </w:rPr>
              <w:t xml:space="preserve">health promotion, </w:t>
            </w:r>
            <w:r w:rsidR="00560690" w:rsidRPr="006A0772">
              <w:rPr>
                <w:rFonts w:cstheme="minorHAnsi"/>
                <w:bCs/>
                <w:color w:val="000000"/>
              </w:rPr>
              <w:t xml:space="preserve">research methods, systematic </w:t>
            </w:r>
            <w:r w:rsidR="007E0BAB" w:rsidRPr="006A0772">
              <w:rPr>
                <w:rFonts w:cstheme="minorHAnsi"/>
                <w:bCs/>
                <w:color w:val="000000"/>
              </w:rPr>
              <w:t>reviews,</w:t>
            </w:r>
            <w:r w:rsidR="00560690" w:rsidRPr="006A0772">
              <w:rPr>
                <w:rFonts w:cstheme="minorHAnsi"/>
                <w:bCs/>
                <w:color w:val="000000"/>
              </w:rPr>
              <w:t xml:space="preserve"> and non-communicable diseases.</w:t>
            </w:r>
            <w:r w:rsidR="00565C40" w:rsidRPr="006A0772">
              <w:rPr>
                <w:rFonts w:cstheme="minorHAnsi"/>
                <w:bCs/>
                <w:color w:val="000000"/>
              </w:rPr>
              <w:t xml:space="preserve"> </w:t>
            </w:r>
          </w:p>
          <w:p w14:paraId="3674F40C" w14:textId="77777777" w:rsidR="00FA2569" w:rsidRPr="006A0772" w:rsidRDefault="00FA2569" w:rsidP="00EF600F">
            <w:pPr>
              <w:rPr>
                <w:rFonts w:cstheme="minorHAnsi"/>
                <w:bCs/>
              </w:rPr>
            </w:pPr>
          </w:p>
        </w:tc>
      </w:tr>
      <w:tr w:rsidR="00FA2569" w:rsidRPr="006A0772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Pr="006A0772" w:rsidRDefault="00C20DAA" w:rsidP="00572718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 xml:space="preserve">Primary </w:t>
            </w:r>
            <w:r w:rsidR="00FA2569" w:rsidRPr="006A0772">
              <w:rPr>
                <w:rFonts w:cstheme="minorHAnsi"/>
                <w:bCs/>
              </w:rPr>
              <w:t>Supervisor:</w:t>
            </w:r>
          </w:p>
          <w:p w14:paraId="1EB4C645" w14:textId="77777777" w:rsidR="00C20DAA" w:rsidRPr="006A0772" w:rsidRDefault="00C20DAA" w:rsidP="00572718">
            <w:pPr>
              <w:rPr>
                <w:rFonts w:cstheme="minorHAnsi"/>
                <w:bCs/>
              </w:rPr>
            </w:pPr>
          </w:p>
        </w:tc>
        <w:tc>
          <w:tcPr>
            <w:tcW w:w="7149" w:type="dxa"/>
          </w:tcPr>
          <w:p w14:paraId="182705BB" w14:textId="71B2D78D" w:rsidR="00FA2569" w:rsidRPr="006A0772" w:rsidRDefault="007D38AD" w:rsidP="00FA2569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 xml:space="preserve">Dr Ratika Kumar </w:t>
            </w:r>
          </w:p>
          <w:p w14:paraId="2C13A768" w14:textId="77777777" w:rsidR="00FA2569" w:rsidRPr="006A0772" w:rsidRDefault="00FA2569" w:rsidP="00FA2569">
            <w:pPr>
              <w:rPr>
                <w:rFonts w:cstheme="minorHAnsi"/>
                <w:bCs/>
              </w:rPr>
            </w:pPr>
          </w:p>
        </w:tc>
      </w:tr>
      <w:tr w:rsidR="00FA2569" w:rsidRPr="006A0772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6A0772" w:rsidRDefault="00FA2569" w:rsidP="00D61347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lastRenderedPageBreak/>
              <w:t>Further info:</w:t>
            </w:r>
          </w:p>
        </w:tc>
        <w:tc>
          <w:tcPr>
            <w:tcW w:w="7149" w:type="dxa"/>
          </w:tcPr>
          <w:p w14:paraId="7399361E" w14:textId="372A479C" w:rsidR="00FA2569" w:rsidRPr="006A0772" w:rsidRDefault="00B54611" w:rsidP="00FA2569">
            <w:pPr>
              <w:rPr>
                <w:rFonts w:cstheme="minorHAnsi"/>
                <w:bCs/>
              </w:rPr>
            </w:pPr>
            <w:r w:rsidRPr="006A0772">
              <w:rPr>
                <w:rFonts w:cstheme="minorHAnsi"/>
                <w:bCs/>
              </w:rPr>
              <w:t xml:space="preserve">Please contact Dr Ratika Kumar at </w:t>
            </w:r>
            <w:hyperlink r:id="rId7" w:history="1">
              <w:r w:rsidRPr="006A0772">
                <w:rPr>
                  <w:rStyle w:val="Hyperlink"/>
                  <w:rFonts w:cstheme="minorHAnsi"/>
                  <w:bCs/>
                </w:rPr>
                <w:t>Ratika.kumar@uq.edu.au</w:t>
              </w:r>
            </w:hyperlink>
            <w:r w:rsidRPr="006A0772">
              <w:rPr>
                <w:rFonts w:cstheme="minorHAnsi"/>
                <w:bCs/>
              </w:rPr>
              <w:t xml:space="preserve"> </w:t>
            </w:r>
            <w:r w:rsidR="007D38AD" w:rsidRPr="006A0772">
              <w:rPr>
                <w:rFonts w:cstheme="minorHAnsi"/>
                <w:bCs/>
              </w:rPr>
              <w:t xml:space="preserve">for further information. </w:t>
            </w:r>
          </w:p>
          <w:p w14:paraId="57BE2138" w14:textId="77777777" w:rsidR="00941E04" w:rsidRPr="006A0772" w:rsidRDefault="00941E04" w:rsidP="00FA2569">
            <w:pPr>
              <w:rPr>
                <w:rFonts w:cstheme="minorHAnsi"/>
                <w:bCs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E2DB" w14:textId="77777777" w:rsidR="00360737" w:rsidRDefault="00360737" w:rsidP="00D00E60">
      <w:r>
        <w:separator/>
      </w:r>
    </w:p>
  </w:endnote>
  <w:endnote w:type="continuationSeparator" w:id="0">
    <w:p w14:paraId="1B90685E" w14:textId="77777777" w:rsidR="00360737" w:rsidRDefault="00360737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7E16" w14:textId="77777777" w:rsidR="00360737" w:rsidRDefault="00360737" w:rsidP="00D00E60">
      <w:r>
        <w:separator/>
      </w:r>
    </w:p>
  </w:footnote>
  <w:footnote w:type="continuationSeparator" w:id="0">
    <w:p w14:paraId="444A7EC5" w14:textId="77777777" w:rsidR="00360737" w:rsidRDefault="00360737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3B4"/>
    <w:multiLevelType w:val="multilevel"/>
    <w:tmpl w:val="653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6773">
    <w:abstractNumId w:val="1"/>
  </w:num>
  <w:num w:numId="2" w16cid:durableId="9885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A116B"/>
    <w:rsid w:val="000F509F"/>
    <w:rsid w:val="00103550"/>
    <w:rsid w:val="001358BA"/>
    <w:rsid w:val="00160C59"/>
    <w:rsid w:val="001C1584"/>
    <w:rsid w:val="002B5ABA"/>
    <w:rsid w:val="00306975"/>
    <w:rsid w:val="0032494D"/>
    <w:rsid w:val="00341543"/>
    <w:rsid w:val="003570F0"/>
    <w:rsid w:val="00360737"/>
    <w:rsid w:val="00392185"/>
    <w:rsid w:val="003C37EE"/>
    <w:rsid w:val="004175CE"/>
    <w:rsid w:val="0042208F"/>
    <w:rsid w:val="004236F4"/>
    <w:rsid w:val="00454FF1"/>
    <w:rsid w:val="0046288C"/>
    <w:rsid w:val="0047051A"/>
    <w:rsid w:val="00490E62"/>
    <w:rsid w:val="004C1625"/>
    <w:rsid w:val="005006EF"/>
    <w:rsid w:val="00502FC5"/>
    <w:rsid w:val="00511802"/>
    <w:rsid w:val="00530D15"/>
    <w:rsid w:val="005340B2"/>
    <w:rsid w:val="00537645"/>
    <w:rsid w:val="00560690"/>
    <w:rsid w:val="005646D9"/>
    <w:rsid w:val="00565C40"/>
    <w:rsid w:val="00572429"/>
    <w:rsid w:val="005A5571"/>
    <w:rsid w:val="005D6DAE"/>
    <w:rsid w:val="005E50E0"/>
    <w:rsid w:val="006119D0"/>
    <w:rsid w:val="00641910"/>
    <w:rsid w:val="006523C9"/>
    <w:rsid w:val="00680C2C"/>
    <w:rsid w:val="006A0772"/>
    <w:rsid w:val="006C56C4"/>
    <w:rsid w:val="006D35B4"/>
    <w:rsid w:val="006E1A7A"/>
    <w:rsid w:val="00750638"/>
    <w:rsid w:val="007519A5"/>
    <w:rsid w:val="00755610"/>
    <w:rsid w:val="00780857"/>
    <w:rsid w:val="007D38AD"/>
    <w:rsid w:val="007E0BAB"/>
    <w:rsid w:val="0080180C"/>
    <w:rsid w:val="00802EFF"/>
    <w:rsid w:val="00816F92"/>
    <w:rsid w:val="008E3377"/>
    <w:rsid w:val="009076E1"/>
    <w:rsid w:val="00941E04"/>
    <w:rsid w:val="00963CC8"/>
    <w:rsid w:val="00965402"/>
    <w:rsid w:val="00967C84"/>
    <w:rsid w:val="009E1CC4"/>
    <w:rsid w:val="00A03E6B"/>
    <w:rsid w:val="00A36D6F"/>
    <w:rsid w:val="00A54AF7"/>
    <w:rsid w:val="00A649DA"/>
    <w:rsid w:val="00A72C8A"/>
    <w:rsid w:val="00A8001D"/>
    <w:rsid w:val="00A85667"/>
    <w:rsid w:val="00B1555C"/>
    <w:rsid w:val="00B54611"/>
    <w:rsid w:val="00B64163"/>
    <w:rsid w:val="00BA27A2"/>
    <w:rsid w:val="00BA289F"/>
    <w:rsid w:val="00C008B6"/>
    <w:rsid w:val="00C0150F"/>
    <w:rsid w:val="00C02C95"/>
    <w:rsid w:val="00C16A3E"/>
    <w:rsid w:val="00C16B6F"/>
    <w:rsid w:val="00C20DAA"/>
    <w:rsid w:val="00C36D48"/>
    <w:rsid w:val="00C736FA"/>
    <w:rsid w:val="00CB2B2A"/>
    <w:rsid w:val="00D00E60"/>
    <w:rsid w:val="00D04310"/>
    <w:rsid w:val="00D0531F"/>
    <w:rsid w:val="00D34C4B"/>
    <w:rsid w:val="00D41190"/>
    <w:rsid w:val="00D61347"/>
    <w:rsid w:val="00D70054"/>
    <w:rsid w:val="00D928A0"/>
    <w:rsid w:val="00DE086A"/>
    <w:rsid w:val="00EE55DA"/>
    <w:rsid w:val="00EF600F"/>
    <w:rsid w:val="00FA2569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ika.kumar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Myra Kraemer</cp:lastModifiedBy>
  <cp:revision>2</cp:revision>
  <dcterms:created xsi:type="dcterms:W3CDTF">2023-08-28T00:06:00Z</dcterms:created>
  <dcterms:modified xsi:type="dcterms:W3CDTF">2023-08-28T00:06:00Z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